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ind/>
        <w:jc w:val="right"/>
        <w:rPr>
          <w:rFonts w:ascii="Arial" w:hAnsi="Arial"/>
          <w:b w:val="1"/>
          <w:color w:val="26282F"/>
          <w:sz w:val="20"/>
        </w:rPr>
      </w:pPr>
      <w:r>
        <w:rPr>
          <w:rFonts w:ascii="Arial" w:hAnsi="Arial"/>
          <w:b w:val="1"/>
          <w:color w:val="26282F"/>
          <w:sz w:val="20"/>
        </w:rPr>
        <w:t xml:space="preserve">Приложение </w:t>
      </w:r>
      <w:r>
        <w:rPr>
          <w:rFonts w:ascii="Arial" w:hAnsi="Arial"/>
          <w:b w:val="1"/>
          <w:color w:val="26282F"/>
          <w:sz w:val="20"/>
        </w:rPr>
        <w:br/>
      </w:r>
      <w:r>
        <w:rPr>
          <w:rFonts w:ascii="Arial" w:hAnsi="Arial"/>
          <w:b w:val="1"/>
          <w:color w:val="26282F"/>
          <w:sz w:val="20"/>
        </w:rPr>
        <w:t xml:space="preserve">к </w:t>
      </w:r>
      <w:r>
        <w:rPr>
          <w:rFonts w:ascii="Arial" w:hAnsi="Arial"/>
          <w:b w:val="0"/>
          <w:color w:val="106BBE"/>
          <w:sz w:val="20"/>
        </w:rPr>
        <w:t>Порядку</w:t>
      </w:r>
      <w:r>
        <w:rPr>
          <w:rFonts w:ascii="Arial" w:hAnsi="Arial"/>
          <w:b w:val="1"/>
          <w:color w:val="26282F"/>
          <w:sz w:val="20"/>
        </w:rPr>
        <w:t xml:space="preserve"> предоставления субсидии </w:t>
      </w:r>
      <w:r>
        <w:rPr>
          <w:rFonts w:ascii="Arial" w:hAnsi="Arial"/>
          <w:b w:val="1"/>
          <w:color w:val="26282F"/>
          <w:sz w:val="20"/>
        </w:rPr>
        <w:br/>
      </w:r>
      <w:r>
        <w:rPr>
          <w:rFonts w:ascii="Arial" w:hAnsi="Arial"/>
          <w:b w:val="1"/>
          <w:color w:val="26282F"/>
          <w:sz w:val="20"/>
        </w:rPr>
        <w:t xml:space="preserve">предприятиям, осуществляющим </w:t>
      </w:r>
      <w:r>
        <w:rPr>
          <w:rFonts w:ascii="Arial" w:hAnsi="Arial"/>
          <w:b w:val="1"/>
          <w:color w:val="26282F"/>
          <w:sz w:val="20"/>
        </w:rPr>
        <w:br/>
      </w:r>
      <w:r>
        <w:rPr>
          <w:rFonts w:ascii="Arial" w:hAnsi="Arial"/>
          <w:b w:val="1"/>
          <w:color w:val="26282F"/>
          <w:sz w:val="20"/>
        </w:rPr>
        <w:t xml:space="preserve">деятельность в сфере пищевой и </w:t>
      </w:r>
      <w:r>
        <w:rPr>
          <w:rFonts w:ascii="Arial" w:hAnsi="Arial"/>
          <w:b w:val="1"/>
          <w:color w:val="26282F"/>
          <w:sz w:val="20"/>
        </w:rPr>
        <w:br/>
      </w:r>
      <w:r>
        <w:rPr>
          <w:rFonts w:ascii="Arial" w:hAnsi="Arial"/>
          <w:b w:val="1"/>
          <w:color w:val="26282F"/>
          <w:sz w:val="20"/>
        </w:rPr>
        <w:t xml:space="preserve">перерабатывающей промышленности, </w:t>
      </w:r>
      <w:r>
        <w:rPr>
          <w:rFonts w:ascii="Arial" w:hAnsi="Arial"/>
          <w:b w:val="1"/>
          <w:color w:val="26282F"/>
          <w:sz w:val="20"/>
        </w:rPr>
        <w:br/>
      </w:r>
      <w:r>
        <w:rPr>
          <w:rFonts w:ascii="Arial" w:hAnsi="Arial"/>
          <w:b w:val="1"/>
          <w:color w:val="26282F"/>
          <w:sz w:val="20"/>
        </w:rPr>
        <w:t xml:space="preserve">на возмещение части затрат, связанных </w:t>
      </w:r>
      <w:r>
        <w:rPr>
          <w:rFonts w:ascii="Arial" w:hAnsi="Arial"/>
          <w:b w:val="1"/>
          <w:color w:val="26282F"/>
          <w:sz w:val="20"/>
        </w:rPr>
        <w:br/>
      </w:r>
      <w:r>
        <w:rPr>
          <w:rFonts w:ascii="Arial" w:hAnsi="Arial"/>
          <w:b w:val="1"/>
          <w:color w:val="26282F"/>
          <w:sz w:val="20"/>
        </w:rPr>
        <w:t xml:space="preserve">с переработкой мяса, производством и </w:t>
      </w:r>
      <w:r>
        <w:rPr>
          <w:rFonts w:ascii="Arial" w:hAnsi="Arial"/>
          <w:b w:val="1"/>
          <w:color w:val="26282F"/>
          <w:sz w:val="20"/>
        </w:rPr>
        <w:br/>
      </w:r>
      <w:r>
        <w:rPr>
          <w:rFonts w:ascii="Arial" w:hAnsi="Arial"/>
          <w:b w:val="1"/>
          <w:color w:val="26282F"/>
          <w:sz w:val="20"/>
        </w:rPr>
        <w:t xml:space="preserve">реализацией мясной продукции, и </w:t>
      </w:r>
      <w:r>
        <w:rPr>
          <w:rFonts w:ascii="Arial" w:hAnsi="Arial"/>
          <w:b w:val="1"/>
          <w:color w:val="26282F"/>
          <w:sz w:val="20"/>
        </w:rPr>
        <w:br/>
      </w:r>
      <w:r>
        <w:rPr>
          <w:rFonts w:ascii="Arial" w:hAnsi="Arial"/>
          <w:b w:val="1"/>
          <w:color w:val="26282F"/>
          <w:sz w:val="20"/>
        </w:rPr>
        <w:t xml:space="preserve">проведения отбора получателей </w:t>
      </w:r>
      <w:r>
        <w:rPr>
          <w:rFonts w:ascii="Arial" w:hAnsi="Arial"/>
          <w:b w:val="1"/>
          <w:color w:val="26282F"/>
          <w:sz w:val="20"/>
        </w:rPr>
        <w:br/>
      </w:r>
      <w:r>
        <w:rPr>
          <w:rFonts w:ascii="Arial" w:hAnsi="Arial"/>
          <w:b w:val="1"/>
          <w:color w:val="26282F"/>
          <w:sz w:val="20"/>
        </w:rPr>
        <w:t>субсидии</w:t>
      </w:r>
    </w:p>
    <w:p w14:paraId="02000000">
      <w:pPr>
        <w:rPr>
          <w:rFonts w:ascii="Times New Roman CYR" w:hAnsi="Times New Roman CYR"/>
          <w:sz w:val="24"/>
        </w:rPr>
      </w:pPr>
    </w:p>
    <w:p w14:paraId="03000000">
      <w:pPr>
        <w:ind/>
        <w:jc w:val="right"/>
        <w:rPr>
          <w:rFonts w:ascii="Arial" w:hAnsi="Arial"/>
          <w:b w:val="1"/>
          <w:color w:val="26282F"/>
          <w:sz w:val="20"/>
        </w:rPr>
      </w:pPr>
      <w:r>
        <w:rPr>
          <w:rFonts w:ascii="Arial" w:hAnsi="Arial"/>
          <w:b w:val="1"/>
          <w:color w:val="26282F"/>
          <w:sz w:val="20"/>
        </w:rPr>
        <w:t>ФОРМА</w:t>
      </w:r>
    </w:p>
    <w:p w14:paraId="04000000">
      <w:pPr>
        <w:rPr>
          <w:rFonts w:ascii="Times New Roman CYR" w:hAnsi="Times New Roman CYR"/>
          <w:sz w:val="24"/>
        </w:rPr>
      </w:pPr>
    </w:p>
    <w:p w14:paraId="05000000">
      <w:pPr>
        <w:pStyle w:val="Style_1"/>
        <w:ind/>
        <w:jc w:val="center"/>
        <w:rPr>
          <w:b w:val="0"/>
        </w:rPr>
      </w:pPr>
      <w:r>
        <w:rPr>
          <w:b w:val="0"/>
        </w:rPr>
        <w:t xml:space="preserve">Сведения </w:t>
      </w:r>
      <w:r>
        <w:rPr>
          <w:b w:val="0"/>
        </w:rPr>
        <w:br/>
      </w:r>
      <w:r>
        <w:rPr>
          <w:b w:val="0"/>
        </w:rPr>
        <w:t xml:space="preserve">о производстве и реализации мясной продукции и расчет потребности в </w:t>
      </w:r>
      <w:r>
        <w:rPr>
          <w:b w:val="0"/>
        </w:rPr>
        <w:br/>
      </w:r>
      <w:r>
        <w:rPr>
          <w:b w:val="0"/>
        </w:rPr>
        <w:t xml:space="preserve">субсидии за ______________ 20__ года </w:t>
      </w:r>
      <w:r>
        <w:rPr>
          <w:b w:val="0"/>
        </w:rPr>
        <w:br/>
      </w:r>
      <w:r>
        <w:rPr>
          <w:b w:val="0"/>
        </w:rPr>
        <w:t>(указать номер квартала)</w:t>
      </w:r>
    </w:p>
    <w:p w14:paraId="06000000">
      <w:pPr>
        <w:rPr>
          <w:rFonts w:ascii="Times New Roman CYR" w:hAnsi="Times New Roman CYR"/>
          <w:sz w:val="24"/>
        </w:rPr>
      </w:pPr>
    </w:p>
    <w:tbl>
      <w:tblPr>
        <w:tblW w:type="auto" w:w="0"/>
        <w:tblInd w:type="dxa" w:w="108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</w:tblBorders>
        <w:tblLayout w:type="fixed"/>
        <w:tblCellMar>
          <w:top w:type="dxa" w:w="0"/>
          <w:left w:type="dxa" w:w="108"/>
          <w:bottom w:type="dxa" w:w="0"/>
          <w:right w:type="dxa" w:w="108"/>
        </w:tblCellMar>
      </w:tblPr>
      <w:tblGrid>
        <w:gridCol w:w="802"/>
        <w:gridCol w:w="3881"/>
        <w:gridCol w:w="2442"/>
        <w:gridCol w:w="2633"/>
      </w:tblGrid>
      <w:tr>
        <w:tc>
          <w:tcPr>
            <w:tcW w:type="dxa" w:w="8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07000000">
            <w:pPr>
              <w:ind w:firstLine="0" w:left="0"/>
              <w:jc w:val="center"/>
            </w:pPr>
            <w:r>
              <w:t>N</w:t>
            </w:r>
            <w:r>
              <w:br/>
            </w:r>
            <w:r>
              <w:t>п/п</w:t>
            </w:r>
          </w:p>
        </w:tc>
        <w:tc>
          <w:tcPr>
            <w:tcW w:type="dxa" w:w="3881"/>
            <w:tcBorders>
              <w:top w:color="000000" w:sz="4" w:val="single"/>
              <w:left w:color="000000" w:sz="4" w:val="single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08000000">
            <w:pPr>
              <w:ind w:firstLine="0" w:left="0"/>
              <w:jc w:val="center"/>
            </w:pPr>
            <w:r>
              <w:t>Объем произведенной и реализованной мясной продукции (тонн)</w:t>
            </w:r>
          </w:p>
        </w:tc>
        <w:tc>
          <w:tcPr>
            <w:tcW w:type="dxa" w:w="2442"/>
            <w:tcBorders>
              <w:top w:color="000000" w:sz="4" w:val="single"/>
              <w:left w:color="000000" w:sz="4" w:val="single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09000000">
            <w:pPr>
              <w:ind w:firstLine="0" w:left="0"/>
              <w:jc w:val="center"/>
            </w:pPr>
            <w:r>
              <w:t>Ставка субсидии (рублей)</w:t>
            </w:r>
          </w:p>
        </w:tc>
        <w:tc>
          <w:tcPr>
            <w:tcW w:type="dxa" w:w="2633"/>
            <w:tcBorders>
              <w:top w:color="000000" w:sz="4" w:val="single"/>
              <w:left w:color="000000" w:sz="4" w:val="single"/>
              <w:bottom w:sz="4" w:val="nil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0A000000">
            <w:pPr>
              <w:ind w:firstLine="0" w:left="0"/>
              <w:jc w:val="center"/>
            </w:pPr>
            <w:r>
              <w:t>Потребность в субсидии (рублей) гр. 2 х гр. 3</w:t>
            </w:r>
          </w:p>
        </w:tc>
      </w:tr>
      <w:tr>
        <w:tc>
          <w:tcPr>
            <w:tcW w:type="dxa" w:w="8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0B000000">
            <w:pPr>
              <w:ind w:firstLine="0" w:left="0"/>
              <w:jc w:val="center"/>
            </w:pPr>
            <w:r>
              <w:t>1</w:t>
            </w:r>
          </w:p>
        </w:tc>
        <w:tc>
          <w:tcPr>
            <w:tcW w:type="dxa" w:w="3881"/>
            <w:tcBorders>
              <w:top w:color="000000" w:sz="4" w:val="single"/>
              <w:left w:color="000000" w:sz="4" w:val="single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0C000000">
            <w:pPr>
              <w:ind w:firstLine="0" w:left="0"/>
              <w:jc w:val="center"/>
            </w:pPr>
            <w:r>
              <w:t>2</w:t>
            </w:r>
          </w:p>
        </w:tc>
        <w:tc>
          <w:tcPr>
            <w:tcW w:type="dxa" w:w="2442"/>
            <w:tcBorders>
              <w:top w:color="000000" w:sz="4" w:val="single"/>
              <w:left w:color="000000" w:sz="4" w:val="single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0D000000">
            <w:pPr>
              <w:ind w:firstLine="0" w:left="0"/>
              <w:jc w:val="center"/>
            </w:pPr>
            <w:r>
              <w:t>3</w:t>
            </w:r>
          </w:p>
        </w:tc>
        <w:tc>
          <w:tcPr>
            <w:tcW w:type="dxa" w:w="2633"/>
            <w:tcBorders>
              <w:top w:color="000000" w:sz="4" w:val="single"/>
              <w:left w:color="000000" w:sz="4" w:val="single"/>
              <w:bottom w:sz="4" w:val="nil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0E000000">
            <w:pPr>
              <w:ind w:firstLine="0" w:left="0"/>
              <w:jc w:val="center"/>
            </w:pPr>
            <w:r>
              <w:t>4</w:t>
            </w:r>
          </w:p>
        </w:tc>
      </w:tr>
      <w:tr>
        <w:tc>
          <w:tcPr>
            <w:tcW w:type="dxa" w:w="8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0F000000">
            <w:pPr>
              <w:ind w:firstLine="0" w:left="0"/>
              <w:jc w:val="center"/>
            </w:pPr>
            <w:r>
              <w:t>1.</w:t>
            </w:r>
          </w:p>
        </w:tc>
        <w:tc>
          <w:tcPr>
            <w:tcW w:type="dxa" w:w="3881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10000000">
            <w:pPr>
              <w:ind w:firstLine="0" w:left="0"/>
              <w:jc w:val="both"/>
            </w:pPr>
          </w:p>
        </w:tc>
        <w:tc>
          <w:tcPr>
            <w:tcW w:type="dxa" w:w="2442"/>
            <w:tcBorders>
              <w:top w:color="000000" w:sz="4" w:val="single"/>
              <w:left w:color="000000" w:sz="4" w:val="single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11000000">
            <w:pPr>
              <w:ind w:firstLine="0" w:left="0"/>
              <w:jc w:val="both"/>
            </w:pPr>
          </w:p>
        </w:tc>
        <w:tc>
          <w:tcPr>
            <w:tcW w:type="dxa" w:w="263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12000000">
            <w:pPr>
              <w:ind w:firstLine="0" w:left="0"/>
              <w:jc w:val="both"/>
            </w:pPr>
          </w:p>
        </w:tc>
      </w:tr>
    </w:tbl>
    <w:p w14:paraId="13000000">
      <w:pPr>
        <w:rPr>
          <w:rFonts w:ascii="Times New Roman CYR" w:hAnsi="Times New Roman CYR"/>
          <w:sz w:val="24"/>
        </w:rPr>
      </w:pPr>
    </w:p>
    <w:tbl>
      <w:tblPr>
        <w:tblW w:type="auto" w:w="0"/>
        <w:tblInd w:type="dxa" w:w="108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</w:tblBorders>
        <w:tblLayout w:type="fixed"/>
        <w:tblCellMar>
          <w:top w:type="dxa" w:w="0"/>
          <w:left w:type="dxa" w:w="108"/>
          <w:bottom w:type="dxa" w:w="0"/>
          <w:right w:type="dxa" w:w="108"/>
        </w:tblCellMar>
      </w:tblPr>
      <w:tblGrid>
        <w:gridCol w:w="2240"/>
        <w:gridCol w:w="280"/>
        <w:gridCol w:w="2100"/>
        <w:gridCol w:w="280"/>
        <w:gridCol w:w="4779"/>
      </w:tblGrid>
      <w:tr>
        <w:tc>
          <w:tcPr>
            <w:tcW w:type="dxa" w:w="2240"/>
            <w:tcBorders>
              <w:top w:sz="4" w:val="nil"/>
              <w:left w:sz="4" w:val="nil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14000000">
            <w:pPr>
              <w:ind w:firstLine="0" w:left="0"/>
              <w:jc w:val="both"/>
            </w:pPr>
            <w:r>
              <w:t>Участник отбора</w:t>
            </w:r>
          </w:p>
        </w:tc>
        <w:tc>
          <w:tcPr>
            <w:tcW w:type="dxa" w:w="280"/>
            <w:tcBorders>
              <w:top w:sz="4" w:val="nil"/>
              <w:left w:sz="4" w:val="nil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15000000">
            <w:pPr>
              <w:ind w:firstLine="0" w:left="0"/>
              <w:jc w:val="both"/>
            </w:pPr>
          </w:p>
        </w:tc>
        <w:tc>
          <w:tcPr>
            <w:tcW w:type="dxa" w:w="2100"/>
            <w:tcBorders>
              <w:top w:sz="4" w:val="nil"/>
              <w:left w:sz="4" w:val="nil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16000000">
            <w:pPr>
              <w:ind w:firstLine="0" w:left="0"/>
              <w:jc w:val="both"/>
            </w:pPr>
          </w:p>
        </w:tc>
        <w:tc>
          <w:tcPr>
            <w:tcW w:type="dxa" w:w="280"/>
            <w:tcBorders>
              <w:top w:sz="4" w:val="nil"/>
              <w:left w:sz="4" w:val="nil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17000000">
            <w:pPr>
              <w:ind w:firstLine="0" w:left="0"/>
              <w:jc w:val="both"/>
            </w:pPr>
          </w:p>
        </w:tc>
        <w:tc>
          <w:tcPr>
            <w:tcW w:type="dxa" w:w="4779"/>
            <w:tcBorders>
              <w:top w:sz="4" w:val="nil"/>
              <w:left w:sz="4" w:val="nil"/>
              <w:bottom w:color="000000" w:sz="4" w:val="single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18000000">
            <w:pPr>
              <w:ind w:firstLine="0" w:left="0"/>
              <w:jc w:val="both"/>
            </w:pPr>
          </w:p>
        </w:tc>
      </w:tr>
      <w:tr>
        <w:tc>
          <w:tcPr>
            <w:tcW w:type="dxa" w:w="2240"/>
            <w:tcBorders>
              <w:top w:sz="4" w:val="nil"/>
              <w:left w:sz="4" w:val="nil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19000000">
            <w:pPr>
              <w:ind w:firstLine="0" w:left="0"/>
              <w:jc w:val="both"/>
            </w:pPr>
          </w:p>
        </w:tc>
        <w:tc>
          <w:tcPr>
            <w:tcW w:type="dxa" w:w="280"/>
            <w:tcBorders>
              <w:top w:sz="4" w:val="nil"/>
              <w:left w:sz="4" w:val="nil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1A000000">
            <w:pPr>
              <w:ind w:firstLine="0" w:left="0"/>
              <w:jc w:val="both"/>
            </w:pPr>
          </w:p>
        </w:tc>
        <w:tc>
          <w:tcPr>
            <w:tcW w:type="dxa" w:w="2100"/>
            <w:tcBorders>
              <w:top w:color="000000" w:sz="4" w:val="single"/>
              <w:left w:sz="4" w:val="nil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1B000000">
            <w:pPr>
              <w:ind w:firstLine="0" w:left="0"/>
              <w:jc w:val="center"/>
            </w:pPr>
            <w:r>
              <w:t>(подпись)</w:t>
            </w:r>
          </w:p>
        </w:tc>
        <w:tc>
          <w:tcPr>
            <w:tcW w:type="dxa" w:w="280"/>
            <w:tcBorders>
              <w:top w:sz="4" w:val="nil"/>
              <w:left w:sz="4" w:val="nil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1C000000">
            <w:pPr>
              <w:ind w:firstLine="0" w:left="0"/>
              <w:jc w:val="both"/>
            </w:pPr>
          </w:p>
        </w:tc>
        <w:tc>
          <w:tcPr>
            <w:tcW w:type="dxa" w:w="4779"/>
            <w:tcBorders>
              <w:top w:color="000000" w:sz="4" w:val="single"/>
              <w:left w:sz="4" w:val="nil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1D000000">
            <w:pPr>
              <w:ind w:firstLine="0" w:left="0"/>
              <w:jc w:val="center"/>
            </w:pPr>
            <w:r>
              <w:t>(Ф.И.О. (отчество при наличии)</w:t>
            </w:r>
          </w:p>
        </w:tc>
      </w:tr>
      <w:tr>
        <w:tc>
          <w:tcPr>
            <w:tcW w:type="dxa" w:w="2240"/>
            <w:tcBorders>
              <w:top w:sz="4" w:val="nil"/>
              <w:left w:sz="4" w:val="nil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1E000000">
            <w:pPr>
              <w:ind w:firstLine="0" w:left="0"/>
              <w:jc w:val="both"/>
            </w:pPr>
            <w:r>
              <w:t>МП (при наличии)</w:t>
            </w:r>
          </w:p>
        </w:tc>
        <w:tc>
          <w:tcPr>
            <w:tcW w:type="dxa" w:w="280"/>
            <w:tcBorders>
              <w:top w:sz="4" w:val="nil"/>
              <w:left w:sz="4" w:val="nil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1F000000">
            <w:pPr>
              <w:ind w:firstLine="0" w:left="0"/>
              <w:jc w:val="both"/>
            </w:pPr>
          </w:p>
        </w:tc>
        <w:tc>
          <w:tcPr>
            <w:tcW w:type="dxa" w:w="2100"/>
            <w:tcBorders>
              <w:top w:sz="4" w:val="nil"/>
              <w:left w:sz="4" w:val="nil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20000000">
            <w:pPr>
              <w:ind w:firstLine="0" w:left="0"/>
              <w:jc w:val="both"/>
            </w:pPr>
          </w:p>
        </w:tc>
        <w:tc>
          <w:tcPr>
            <w:tcW w:type="dxa" w:w="280"/>
            <w:tcBorders>
              <w:top w:sz="4" w:val="nil"/>
              <w:left w:sz="4" w:val="nil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21000000">
            <w:pPr>
              <w:ind w:firstLine="0" w:left="0"/>
              <w:jc w:val="both"/>
            </w:pPr>
          </w:p>
        </w:tc>
        <w:tc>
          <w:tcPr>
            <w:tcW w:type="dxa" w:w="4779"/>
            <w:tcBorders>
              <w:top w:sz="4" w:val="nil"/>
              <w:left w:sz="4" w:val="nil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top"/>
          </w:tcPr>
          <w:p w14:paraId="22000000">
            <w:pPr>
              <w:ind w:firstLine="0" w:left="0"/>
              <w:jc w:val="both"/>
            </w:pPr>
          </w:p>
        </w:tc>
      </w:tr>
    </w:tbl>
    <w:p w14:paraId="23000000">
      <w:pPr>
        <w:rPr>
          <w:rFonts w:ascii="Times New Roman CYR" w:hAnsi="Times New Roman CYR"/>
          <w:sz w:val="24"/>
        </w:rPr>
      </w:pPr>
    </w:p>
    <w:p w14:paraId="24000000">
      <w:pPr>
        <w:rPr>
          <w:rFonts w:ascii="Times New Roman CYR" w:hAnsi="Times New Roman CYR"/>
          <w:sz w:val="24"/>
        </w:rPr>
      </w:pPr>
      <w:r>
        <w:rPr>
          <w:rFonts w:ascii="Times New Roman CYR" w:hAnsi="Times New Roman CYR"/>
          <w:sz w:val="24"/>
        </w:rPr>
        <w:t>Исполнитель _____________________ контактный телефон ________________________</w:t>
      </w:r>
    </w:p>
    <w:p w14:paraId="25000000">
      <w:pPr>
        <w:rPr>
          <w:rFonts w:ascii="Times New Roman CYR" w:hAnsi="Times New Roman CYR"/>
          <w:sz w:val="24"/>
        </w:rPr>
      </w:pPr>
      <w:r>
        <w:rPr>
          <w:rFonts w:ascii="Times New Roman CYR" w:hAnsi="Times New Roman CYR"/>
          <w:sz w:val="24"/>
        </w:rPr>
        <w:t>"__" ______________ 20__ г.</w:t>
      </w:r>
    </w:p>
    <w:p w14:paraId="26000000">
      <w:pPr>
        <w:pStyle w:val="Style_2"/>
      </w:pPr>
    </w:p>
    <w:sectPr>
      <w:pgSz w:h="16838" w:orient="portrait" w:w="11906"/>
      <w:pgMar w:bottom="1134" w:left="1304" w:right="737" w:top="1134"/>
      <w:pgNumType w:fmt="decimal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20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XO Thames" w:hAnsi="XO Thames"/>
        <w:color w:val="000000"/>
        <w:spacing w:val="0"/>
        <w:sz w:val="24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2" w:type="paragraph">
    <w:name w:val="Normal"/>
    <w:link w:val="Style_2_ch"/>
    <w:uiPriority w:val="0"/>
    <w:qFormat/>
    <w:pPr>
      <w:spacing w:line="240" w:lineRule="auto"/>
      <w:ind/>
      <w:jc w:val="both"/>
    </w:pPr>
    <w:rPr>
      <w:rFonts w:ascii="XO Thames" w:hAnsi="XO Thames"/>
      <w:sz w:val="28"/>
    </w:rPr>
  </w:style>
  <w:style w:default="1" w:styleId="Style_2_ch" w:type="character">
    <w:name w:val="Normal"/>
    <w:link w:val="Style_2"/>
    <w:rPr>
      <w:rFonts w:ascii="XO Thames" w:hAnsi="XO Thames"/>
      <w:sz w:val="28"/>
    </w:rPr>
  </w:style>
  <w:style w:styleId="Style_3" w:type="paragraph">
    <w:name w:val="toc 2"/>
    <w:next w:val="Style_2"/>
    <w:link w:val="Style_3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3_ch" w:type="character">
    <w:name w:val="toc 2"/>
    <w:link w:val="Style_3"/>
    <w:rPr>
      <w:rFonts w:ascii="XO Thames" w:hAnsi="XO Thames"/>
      <w:sz w:val="28"/>
    </w:rPr>
  </w:style>
  <w:style w:styleId="Style_4" w:type="paragraph">
    <w:name w:val="toc 4"/>
    <w:next w:val="Style_2"/>
    <w:link w:val="Style_4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4_ch" w:type="character">
    <w:name w:val="toc 4"/>
    <w:link w:val="Style_4"/>
    <w:rPr>
      <w:rFonts w:ascii="XO Thames" w:hAnsi="XO Thames"/>
      <w:sz w:val="28"/>
    </w:rPr>
  </w:style>
  <w:style w:styleId="Style_5" w:type="paragraph">
    <w:name w:val="toc 6"/>
    <w:next w:val="Style_2"/>
    <w:link w:val="Style_5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5_ch" w:type="character">
    <w:name w:val="toc 6"/>
    <w:link w:val="Style_5"/>
    <w:rPr>
      <w:rFonts w:ascii="XO Thames" w:hAnsi="XO Thames"/>
      <w:sz w:val="28"/>
    </w:rPr>
  </w:style>
  <w:style w:styleId="Style_6" w:type="paragraph">
    <w:name w:val="toc 7"/>
    <w:next w:val="Style_2"/>
    <w:link w:val="Style_6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6_ch" w:type="character">
    <w:name w:val="toc 7"/>
    <w:link w:val="Style_6"/>
    <w:rPr>
      <w:rFonts w:ascii="XO Thames" w:hAnsi="XO Thames"/>
      <w:sz w:val="28"/>
    </w:rPr>
  </w:style>
  <w:style w:styleId="Style_7" w:type="paragraph">
    <w:name w:val="Endnote"/>
    <w:link w:val="Style_7_ch"/>
    <w:pPr>
      <w:ind w:firstLine="851" w:left="0"/>
      <w:jc w:val="both"/>
    </w:pPr>
    <w:rPr>
      <w:rFonts w:ascii="XO Thames" w:hAnsi="XO Thames"/>
      <w:sz w:val="22"/>
    </w:rPr>
  </w:style>
  <w:style w:styleId="Style_7_ch" w:type="character">
    <w:name w:val="Endnote"/>
    <w:link w:val="Style_7"/>
    <w:rPr>
      <w:rFonts w:ascii="XO Thames" w:hAnsi="XO Thames"/>
      <w:sz w:val="22"/>
    </w:rPr>
  </w:style>
  <w:style w:styleId="Style_8" w:type="paragraph">
    <w:name w:val="heading 3"/>
    <w:next w:val="Style_2"/>
    <w:link w:val="Style_8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8_ch" w:type="character">
    <w:name w:val="heading 3"/>
    <w:link w:val="Style_8"/>
    <w:rPr>
      <w:rFonts w:ascii="XO Thames" w:hAnsi="XO Thames"/>
      <w:b w:val="1"/>
      <w:sz w:val="26"/>
    </w:rPr>
  </w:style>
  <w:style w:styleId="Style_9" w:type="paragraph">
    <w:name w:val="toc 3"/>
    <w:next w:val="Style_2"/>
    <w:link w:val="Style_9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9_ch" w:type="character">
    <w:name w:val="toc 3"/>
    <w:link w:val="Style_9"/>
    <w:rPr>
      <w:rFonts w:ascii="XO Thames" w:hAnsi="XO Thames"/>
      <w:sz w:val="28"/>
    </w:rPr>
  </w:style>
  <w:style w:styleId="Style_10" w:type="paragraph">
    <w:name w:val="heading 5"/>
    <w:next w:val="Style_2"/>
    <w:link w:val="Style_10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0_ch" w:type="character">
    <w:name w:val="heading 5"/>
    <w:link w:val="Style_10"/>
    <w:rPr>
      <w:rFonts w:ascii="XO Thames" w:hAnsi="XO Thames"/>
      <w:b w:val="1"/>
      <w:sz w:val="22"/>
    </w:rPr>
  </w:style>
  <w:style w:styleId="Style_1" w:type="paragraph">
    <w:name w:val="heading 1"/>
    <w:next w:val="Style_2"/>
    <w:link w:val="Style_1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_ch" w:type="character">
    <w:name w:val="heading 1"/>
    <w:link w:val="Style_1"/>
    <w:rPr>
      <w:rFonts w:ascii="XO Thames" w:hAnsi="XO Thames"/>
      <w:b w:val="1"/>
      <w:sz w:val="32"/>
    </w:rPr>
  </w:style>
  <w:style w:styleId="Style_11" w:type="paragraph">
    <w:name w:val="Hyperlink"/>
    <w:link w:val="Style_11_ch"/>
    <w:rPr>
      <w:color w:val="0000FF"/>
      <w:u w:val="single"/>
    </w:rPr>
  </w:style>
  <w:style w:styleId="Style_11_ch" w:type="character">
    <w:name w:val="Hyperlink"/>
    <w:link w:val="Style_11"/>
    <w:rPr>
      <w:color w:val="0000FF"/>
      <w:u w:val="single"/>
    </w:rPr>
  </w:style>
  <w:style w:styleId="Style_12" w:type="paragraph">
    <w:name w:val="Footnote"/>
    <w:link w:val="Style_12_ch"/>
    <w:pPr>
      <w:ind w:firstLine="851" w:left="0"/>
      <w:jc w:val="both"/>
    </w:pPr>
    <w:rPr>
      <w:rFonts w:ascii="XO Thames" w:hAnsi="XO Thames"/>
      <w:sz w:val="22"/>
    </w:rPr>
  </w:style>
  <w:style w:styleId="Style_12_ch" w:type="character">
    <w:name w:val="Footnote"/>
    <w:link w:val="Style_12"/>
    <w:rPr>
      <w:rFonts w:ascii="XO Thames" w:hAnsi="XO Thames"/>
      <w:sz w:val="22"/>
    </w:rPr>
  </w:style>
  <w:style w:styleId="Style_13" w:type="paragraph">
    <w:name w:val="toc 1"/>
    <w:next w:val="Style_2"/>
    <w:link w:val="Style_13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3_ch" w:type="character">
    <w:name w:val="toc 1"/>
    <w:link w:val="Style_13"/>
    <w:rPr>
      <w:rFonts w:ascii="XO Thames" w:hAnsi="XO Thames"/>
      <w:b w:val="1"/>
      <w:sz w:val="28"/>
    </w:rPr>
  </w:style>
  <w:style w:styleId="Style_14" w:type="paragraph">
    <w:name w:val="Header and Footer"/>
    <w:link w:val="Style_14_ch"/>
    <w:pPr>
      <w:spacing w:line="240" w:lineRule="auto"/>
      <w:ind/>
      <w:jc w:val="both"/>
    </w:pPr>
    <w:rPr>
      <w:rFonts w:ascii="XO Thames" w:hAnsi="XO Thames"/>
      <w:sz w:val="28"/>
    </w:rPr>
  </w:style>
  <w:style w:styleId="Style_14_ch" w:type="character">
    <w:name w:val="Header and Footer"/>
    <w:link w:val="Style_14"/>
    <w:rPr>
      <w:rFonts w:ascii="XO Thames" w:hAnsi="XO Thames"/>
      <w:sz w:val="28"/>
    </w:rPr>
  </w:style>
  <w:style w:styleId="Style_15" w:type="paragraph">
    <w:name w:val="toc 9"/>
    <w:next w:val="Style_2"/>
    <w:link w:val="Style_15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15_ch" w:type="character">
    <w:name w:val="toc 9"/>
    <w:link w:val="Style_15"/>
    <w:rPr>
      <w:rFonts w:ascii="XO Thames" w:hAnsi="XO Thames"/>
      <w:sz w:val="28"/>
    </w:rPr>
  </w:style>
  <w:style w:styleId="Style_16" w:type="paragraph">
    <w:name w:val="toc 8"/>
    <w:next w:val="Style_2"/>
    <w:link w:val="Style_16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16_ch" w:type="character">
    <w:name w:val="toc 8"/>
    <w:link w:val="Style_16"/>
    <w:rPr>
      <w:rFonts w:ascii="XO Thames" w:hAnsi="XO Thames"/>
      <w:sz w:val="28"/>
    </w:rPr>
  </w:style>
  <w:style w:styleId="Style_17" w:type="paragraph">
    <w:name w:val="toc 5"/>
    <w:next w:val="Style_2"/>
    <w:link w:val="Style_17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17_ch" w:type="character">
    <w:name w:val="toc 5"/>
    <w:link w:val="Style_17"/>
    <w:rPr>
      <w:rFonts w:ascii="XO Thames" w:hAnsi="XO Thames"/>
      <w:sz w:val="28"/>
    </w:rPr>
  </w:style>
  <w:style w:styleId="Style_18" w:type="paragraph">
    <w:name w:val="Subtitle"/>
    <w:next w:val="Style_2"/>
    <w:link w:val="Style_18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18_ch" w:type="character">
    <w:name w:val="Subtitle"/>
    <w:link w:val="Style_18"/>
    <w:rPr>
      <w:rFonts w:ascii="XO Thames" w:hAnsi="XO Thames"/>
      <w:i w:val="1"/>
      <w:sz w:val="24"/>
    </w:rPr>
  </w:style>
  <w:style w:styleId="Style_19" w:type="paragraph">
    <w:name w:val="Title"/>
    <w:next w:val="Style_2"/>
    <w:link w:val="Style_19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19_ch" w:type="character">
    <w:name w:val="Title"/>
    <w:link w:val="Style_19"/>
    <w:rPr>
      <w:rFonts w:ascii="XO Thames" w:hAnsi="XO Thames"/>
      <w:b w:val="1"/>
      <w:caps w:val="1"/>
      <w:sz w:val="40"/>
    </w:rPr>
  </w:style>
  <w:style w:styleId="Style_20" w:type="paragraph">
    <w:name w:val="heading 4"/>
    <w:next w:val="Style_2"/>
    <w:link w:val="Style_20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0_ch" w:type="character">
    <w:name w:val="heading 4"/>
    <w:link w:val="Style_20"/>
    <w:rPr>
      <w:rFonts w:ascii="XO Thames" w:hAnsi="XO Thames"/>
      <w:b w:val="1"/>
      <w:sz w:val="24"/>
    </w:rPr>
  </w:style>
  <w:style w:styleId="Style_21" w:type="paragraph">
    <w:name w:val="heading 2"/>
    <w:next w:val="Style_2"/>
    <w:link w:val="Style_21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1_ch" w:type="character">
    <w:name w:val="heading 2"/>
    <w:link w:val="Style_21"/>
    <w:rPr>
      <w:rFonts w:ascii="XO Thames" w:hAnsi="XO Thames"/>
      <w:b w:val="1"/>
      <w:sz w:val="28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1" Target="fontTable.xml" Type="http://schemas.openxmlformats.org/officeDocument/2006/relationships/fontTable"/>
  <Relationship Id="rId2" Target="settings.xml" Type="http://schemas.openxmlformats.org/officeDocument/2006/relationships/settings"/>
  <Relationship Id="rId3" Target="styles.xml" Type="http://schemas.openxmlformats.org/officeDocument/2006/relationships/styles"/>
  <Relationship Id="rId4" Target="stylesWithEffects.xml" Type="http://schemas.microsoft.com/office/2007/relationships/stylesWithEffects"/>
  <Relationship Id="rId5" Target="webSettings.xml" Type="http://schemas.openxmlformats.org/officeDocument/2006/relationships/webSetting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63000"/>
                <a:satMod val="300000"/>
              </a:schemeClr>
            </a:gs>
            <a:gs pos="100000">
              <a:schemeClr val="phClr">
                <a:tint val="8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60000"/>
                <a:satMod val="350000"/>
              </a:schemeClr>
            </a:gs>
            <a:gs pos="40000">
              <a:schemeClr val="phClr">
                <a:tint val="5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2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MyOffice-CoreFramework-Windows/31-1191.804.9045.819.1@01270b6a23d25f32067dc36f8846da406ea65219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2025-04-17T22:22:12Z</dcterms:modified>
</cp:coreProperties>
</file>